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z9sdbuqfb3ii" w:id="0"/>
      <w:bookmarkEnd w:id="0"/>
      <w:r w:rsidDel="00000000" w:rsidR="00000000" w:rsidRPr="00000000">
        <w:rPr>
          <w:rtl w:val="0"/>
        </w:rPr>
        <w:t xml:space="preserve">References</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pStyle w:val="Heading1"/>
        <w:rPr/>
      </w:pPr>
      <w:bookmarkStart w:colFirst="0" w:colLast="0" w:name="_k57kmjmc7ilj" w:id="1"/>
      <w:bookmarkEnd w:id="1"/>
      <w:r w:rsidDel="00000000" w:rsidR="00000000" w:rsidRPr="00000000">
        <w:rPr>
          <w:rtl w:val="0"/>
        </w:rPr>
        <w:t xml:space="preserve">Introduction</w:t>
      </w:r>
    </w:p>
    <w:p w:rsidR="00000000" w:rsidDel="00000000" w:rsidP="00000000" w:rsidRDefault="00000000" w:rsidRPr="00000000" w14:paraId="00000004">
      <w:pPr>
        <w:rPr>
          <w:sz w:val="24"/>
          <w:szCs w:val="24"/>
        </w:rPr>
      </w:pPr>
      <w:r w:rsidDel="00000000" w:rsidR="00000000" w:rsidRPr="00000000">
        <w:rPr>
          <w:sz w:val="24"/>
          <w:szCs w:val="24"/>
          <w:rtl w:val="0"/>
        </w:rPr>
        <w:t xml:space="preserve">Like our toolkit?  We’re so glad to hear it!  For your convenience, we have pasted various links that we used to make our toolkit below.  Please credit the authors and creators of these tools and articles as you use them.  If you use our toolkit or reviews that we have created, you may cite us using the below APA citation:</w:t>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sz w:val="24"/>
          <w:szCs w:val="24"/>
          <w:rtl w:val="0"/>
        </w:rPr>
        <w:t xml:space="preserve">Ward, S. B., &amp; Ashe, C. E. (2017, May 1). The Student Affairs Accessible Social Media Toolkit. Retrieved from https://drive.google.com/open?id=0B_-ZfCP7Aqp2RFRaRFQ2U1RTYXM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09">
      <w:pPr>
        <w:rPr>
          <w:sz w:val="24"/>
          <w:szCs w:val="24"/>
        </w:rPr>
      </w:pPr>
      <w:r w:rsidDel="00000000" w:rsidR="00000000" w:rsidRPr="00000000">
        <w:rPr>
          <w:sz w:val="24"/>
          <w:szCs w:val="24"/>
          <w:rtl w:val="0"/>
        </w:rPr>
        <w:t xml:space="preserve">Samra Ward, University of Georgia, </w:t>
      </w:r>
      <w:hyperlink r:id="rId6">
        <w:r w:rsidDel="00000000" w:rsidR="00000000" w:rsidRPr="00000000">
          <w:rPr>
            <w:color w:val="1155cc"/>
            <w:sz w:val="24"/>
            <w:szCs w:val="24"/>
            <w:u w:val="single"/>
            <w:rtl w:val="0"/>
          </w:rPr>
          <w:t xml:space="preserve">Samra.ward@gmail.com</w:t>
        </w:r>
      </w:hyperlink>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sz w:val="24"/>
          <w:szCs w:val="24"/>
          <w:rtl w:val="0"/>
        </w:rPr>
        <w:t xml:space="preserve">Catherine Ashe, University of Georgia</w:t>
      </w:r>
    </w:p>
    <w:p w:rsidR="00000000" w:rsidDel="00000000" w:rsidP="00000000" w:rsidRDefault="00000000" w:rsidRPr="00000000" w14:paraId="0000000C">
      <w:pPr>
        <w:pStyle w:val="Heading1"/>
        <w:rPr/>
      </w:pPr>
      <w:bookmarkStart w:colFirst="0" w:colLast="0" w:name="_f0q1ajcdu3qw" w:id="2"/>
      <w:bookmarkEnd w:id="2"/>
      <w:r w:rsidDel="00000000" w:rsidR="00000000" w:rsidRPr="00000000">
        <w:rPr>
          <w:rtl w:val="0"/>
        </w:rPr>
        <w:t xml:space="preserve">References</w:t>
      </w:r>
    </w:p>
    <w:p w:rsidR="00000000" w:rsidDel="00000000" w:rsidP="00000000" w:rsidRDefault="00000000" w:rsidRPr="00000000" w14:paraId="0000000D">
      <w:pPr>
        <w:spacing w:line="360" w:lineRule="auto"/>
        <w:rPr>
          <w:sz w:val="24"/>
          <w:szCs w:val="24"/>
        </w:rPr>
      </w:pPr>
      <w:r w:rsidDel="00000000" w:rsidR="00000000" w:rsidRPr="00000000">
        <w:rPr>
          <w:sz w:val="24"/>
          <w:szCs w:val="24"/>
          <w:rtl w:val="0"/>
        </w:rPr>
        <w:t xml:space="preserve">Al-Hayali, S. (Director). (2015, October 22). </w:t>
      </w:r>
      <w:r w:rsidDel="00000000" w:rsidR="00000000" w:rsidRPr="00000000">
        <w:rPr>
          <w:i w:val="1"/>
          <w:sz w:val="24"/>
          <w:szCs w:val="24"/>
          <w:rtl w:val="0"/>
        </w:rPr>
        <w:t xml:space="preserve">How to Add Subtitles or Closed Captions to your Youtube Videos </w:t>
      </w:r>
      <w:r w:rsidDel="00000000" w:rsidR="00000000" w:rsidRPr="00000000">
        <w:rPr>
          <w:sz w:val="24"/>
          <w:szCs w:val="24"/>
          <w:rtl w:val="0"/>
        </w:rPr>
        <w:t xml:space="preserve">[Video file]. Retrieved from </w:t>
      </w:r>
      <w:hyperlink r:id="rId7">
        <w:r w:rsidDel="00000000" w:rsidR="00000000" w:rsidRPr="00000000">
          <w:rPr>
            <w:color w:val="1155cc"/>
            <w:sz w:val="24"/>
            <w:szCs w:val="24"/>
            <w:u w:val="single"/>
            <w:rtl w:val="0"/>
          </w:rPr>
          <w:t xml:space="preserve">https://www.youtube.com/watch?v=R9LwO1mF5vc</w:t>
        </w:r>
      </w:hyperlink>
      <w:r w:rsidDel="00000000" w:rsidR="00000000" w:rsidRPr="00000000">
        <w:rPr>
          <w:sz w:val="24"/>
          <w:szCs w:val="24"/>
          <w:rtl w:val="0"/>
        </w:rPr>
        <w:t xml:space="preserve"> </w:t>
      </w:r>
    </w:p>
    <w:p w:rsidR="00000000" w:rsidDel="00000000" w:rsidP="00000000" w:rsidRDefault="00000000" w:rsidRPr="00000000" w14:paraId="0000000E">
      <w:pPr>
        <w:spacing w:line="360" w:lineRule="auto"/>
        <w:rPr>
          <w:sz w:val="24"/>
          <w:szCs w:val="24"/>
        </w:rPr>
      </w:pPr>
      <w:r w:rsidDel="00000000" w:rsidR="00000000" w:rsidRPr="00000000">
        <w:rPr>
          <w:sz w:val="24"/>
          <w:szCs w:val="24"/>
          <w:rtl w:val="0"/>
        </w:rPr>
        <w:t xml:space="preserve">Elainey, A. (2016, September 25). </w:t>
      </w:r>
      <w:r w:rsidDel="00000000" w:rsidR="00000000" w:rsidRPr="00000000">
        <w:rPr>
          <w:i w:val="1"/>
          <w:sz w:val="24"/>
          <w:szCs w:val="24"/>
          <w:rtl w:val="0"/>
        </w:rPr>
        <w:t xml:space="preserve">#NoMoreCraptions Project</w:t>
      </w:r>
      <w:r w:rsidDel="00000000" w:rsidR="00000000" w:rsidRPr="00000000">
        <w:rPr>
          <w:sz w:val="24"/>
          <w:szCs w:val="24"/>
          <w:rtl w:val="0"/>
        </w:rPr>
        <w:t xml:space="preserve"> [Video series]. Retrieved from </w:t>
      </w:r>
      <w:hyperlink r:id="rId8">
        <w:r w:rsidDel="00000000" w:rsidR="00000000" w:rsidRPr="00000000">
          <w:rPr>
            <w:color w:val="1155cc"/>
            <w:sz w:val="24"/>
            <w:szCs w:val="24"/>
            <w:u w:val="single"/>
            <w:rtl w:val="0"/>
          </w:rPr>
          <w:t xml:space="preserve">https://www.youtube.com/playlist?list=PLzbLZiJEtlO4n-UYLJBnUX_zeZ6xsCxxb</w:t>
        </w:r>
      </w:hyperlink>
      <w:r w:rsidDel="00000000" w:rsidR="00000000" w:rsidRPr="00000000">
        <w:rPr>
          <w:sz w:val="24"/>
          <w:szCs w:val="24"/>
          <w:rtl w:val="0"/>
        </w:rPr>
        <w:t xml:space="preserve">   </w:t>
      </w:r>
    </w:p>
    <w:p w:rsidR="00000000" w:rsidDel="00000000" w:rsidP="00000000" w:rsidRDefault="00000000" w:rsidRPr="00000000" w14:paraId="0000000F">
      <w:pPr>
        <w:spacing w:line="360" w:lineRule="auto"/>
        <w:rPr>
          <w:sz w:val="24"/>
          <w:szCs w:val="24"/>
        </w:rPr>
      </w:pPr>
      <w:r w:rsidDel="00000000" w:rsidR="00000000" w:rsidRPr="00000000">
        <w:rPr>
          <w:sz w:val="24"/>
          <w:szCs w:val="24"/>
          <w:rtl w:val="0"/>
        </w:rPr>
        <w:t xml:space="preserve">Fernandez, C. (2012, September 27). How to create an accessible infographic. Retrieved from </w:t>
      </w:r>
      <w:hyperlink r:id="rId9">
        <w:r w:rsidDel="00000000" w:rsidR="00000000" w:rsidRPr="00000000">
          <w:rPr>
            <w:color w:val="1155cc"/>
            <w:sz w:val="24"/>
            <w:szCs w:val="24"/>
            <w:u w:val="single"/>
            <w:rtl w:val="0"/>
          </w:rPr>
          <w:t xml:space="preserve">http://www.accessiq.org/create/content/how-to-create-an-accessible-infographic</w:t>
        </w:r>
      </w:hyperlink>
      <w:r w:rsidDel="00000000" w:rsidR="00000000" w:rsidRPr="00000000">
        <w:rPr>
          <w:sz w:val="24"/>
          <w:szCs w:val="24"/>
          <w:rtl w:val="0"/>
        </w:rPr>
        <w:t xml:space="preserve"> </w:t>
      </w:r>
    </w:p>
    <w:p w:rsidR="00000000" w:rsidDel="00000000" w:rsidP="00000000" w:rsidRDefault="00000000" w:rsidRPr="00000000" w14:paraId="00000010">
      <w:pPr>
        <w:spacing w:line="360" w:lineRule="auto"/>
        <w:rPr>
          <w:sz w:val="24"/>
          <w:szCs w:val="24"/>
        </w:rPr>
      </w:pPr>
      <w:r w:rsidDel="00000000" w:rsidR="00000000" w:rsidRPr="00000000">
        <w:rPr>
          <w:sz w:val="24"/>
          <w:szCs w:val="24"/>
          <w:rtl w:val="0"/>
        </w:rPr>
        <w:t xml:space="preserve">Krzywinski, M. (n.d.). Color Palettes for Color Blindness. Retrieved from </w:t>
      </w:r>
      <w:hyperlink r:id="rId10">
        <w:r w:rsidDel="00000000" w:rsidR="00000000" w:rsidRPr="00000000">
          <w:rPr>
            <w:color w:val="1155cc"/>
            <w:sz w:val="24"/>
            <w:szCs w:val="24"/>
            <w:u w:val="single"/>
            <w:rtl w:val="0"/>
          </w:rPr>
          <w:t xml:space="preserve">http://mkweb.bcgsc.ca/colorblind/</w:t>
        </w:r>
      </w:hyperlink>
      <w:r w:rsidDel="00000000" w:rsidR="00000000" w:rsidRPr="00000000">
        <w:rPr>
          <w:sz w:val="24"/>
          <w:szCs w:val="24"/>
          <w:rtl w:val="0"/>
        </w:rPr>
        <w:t xml:space="preserve"> </w:t>
      </w:r>
    </w:p>
    <w:p w:rsidR="00000000" w:rsidDel="00000000" w:rsidP="00000000" w:rsidRDefault="00000000" w:rsidRPr="00000000" w14:paraId="00000011">
      <w:pPr>
        <w:spacing w:line="360" w:lineRule="auto"/>
        <w:rPr>
          <w:sz w:val="24"/>
          <w:szCs w:val="24"/>
        </w:rPr>
      </w:pPr>
      <w:r w:rsidDel="00000000" w:rsidR="00000000" w:rsidRPr="00000000">
        <w:rPr>
          <w:sz w:val="24"/>
          <w:szCs w:val="24"/>
          <w:rtl w:val="0"/>
        </w:rPr>
        <w:t xml:space="preserve">Poynter, R. (n.d.). </w:t>
      </w:r>
      <w:r w:rsidDel="00000000" w:rsidR="00000000" w:rsidRPr="00000000">
        <w:rPr>
          <w:i w:val="1"/>
          <w:sz w:val="24"/>
          <w:szCs w:val="24"/>
          <w:rtl w:val="0"/>
        </w:rPr>
        <w:t xml:space="preserve">#NoMoreCraptions Captioning DIY</w:t>
      </w:r>
      <w:r w:rsidDel="00000000" w:rsidR="00000000" w:rsidRPr="00000000">
        <w:rPr>
          <w:sz w:val="24"/>
          <w:szCs w:val="24"/>
          <w:rtl w:val="0"/>
        </w:rPr>
        <w:t xml:space="preserve"> [Video file]. Retrieved from </w:t>
      </w:r>
      <w:hyperlink r:id="rId11">
        <w:r w:rsidDel="00000000" w:rsidR="00000000" w:rsidRPr="00000000">
          <w:rPr>
            <w:color w:val="1155cc"/>
            <w:sz w:val="24"/>
            <w:szCs w:val="24"/>
            <w:u w:val="single"/>
            <w:rtl w:val="0"/>
          </w:rPr>
          <w:t xml:space="preserve">https://www.youtube.com/watch?v=-O4YcVQt5NM</w:t>
        </w:r>
      </w:hyperlink>
      <w:r w:rsidDel="00000000" w:rsidR="00000000" w:rsidRPr="00000000">
        <w:rPr>
          <w:sz w:val="24"/>
          <w:szCs w:val="24"/>
          <w:rtl w:val="0"/>
        </w:rPr>
        <w:t xml:space="preserve"> </w:t>
      </w:r>
    </w:p>
    <w:p w:rsidR="00000000" w:rsidDel="00000000" w:rsidP="00000000" w:rsidRDefault="00000000" w:rsidRPr="00000000" w14:paraId="00000012">
      <w:pPr>
        <w:spacing w:line="360" w:lineRule="auto"/>
        <w:rPr>
          <w:sz w:val="24"/>
          <w:szCs w:val="24"/>
        </w:rPr>
      </w:pPr>
      <w:r w:rsidDel="00000000" w:rsidR="00000000" w:rsidRPr="00000000">
        <w:rPr>
          <w:sz w:val="24"/>
          <w:szCs w:val="24"/>
          <w:rtl w:val="0"/>
        </w:rPr>
        <w:t xml:space="preserve">Poynter, R. (2015, Jun. 21). </w:t>
      </w:r>
      <w:r w:rsidDel="00000000" w:rsidR="00000000" w:rsidRPr="00000000">
        <w:rPr>
          <w:i w:val="1"/>
          <w:sz w:val="24"/>
          <w:szCs w:val="24"/>
          <w:rtl w:val="0"/>
        </w:rPr>
        <w:t xml:space="preserve">The Easiest Way to Closed Caption Videos</w:t>
      </w:r>
      <w:r w:rsidDel="00000000" w:rsidR="00000000" w:rsidRPr="00000000">
        <w:rPr>
          <w:sz w:val="24"/>
          <w:szCs w:val="24"/>
          <w:rtl w:val="0"/>
        </w:rPr>
        <w:t xml:space="preserve"> [Video file]. Retrieved from </w:t>
      </w:r>
      <w:hyperlink r:id="rId12">
        <w:r w:rsidDel="00000000" w:rsidR="00000000" w:rsidRPr="00000000">
          <w:rPr>
            <w:color w:val="1155cc"/>
            <w:sz w:val="24"/>
            <w:szCs w:val="24"/>
            <w:u w:val="single"/>
            <w:rtl w:val="0"/>
          </w:rPr>
          <w:t xml:space="preserve">https://www.youtube.com/watch?v=IvWAj2jzQHw</w:t>
        </w:r>
      </w:hyperlink>
      <w:r w:rsidDel="00000000" w:rsidR="00000000" w:rsidRPr="00000000">
        <w:rPr>
          <w:sz w:val="24"/>
          <w:szCs w:val="24"/>
          <w:rtl w:val="0"/>
        </w:rPr>
        <w:t xml:space="preserve"> </w:t>
      </w:r>
    </w:p>
    <w:p w:rsidR="00000000" w:rsidDel="00000000" w:rsidP="00000000" w:rsidRDefault="00000000" w:rsidRPr="00000000" w14:paraId="00000013">
      <w:pPr>
        <w:spacing w:line="360" w:lineRule="auto"/>
        <w:rPr>
          <w:sz w:val="24"/>
          <w:szCs w:val="24"/>
        </w:rPr>
      </w:pPr>
      <w:r w:rsidDel="00000000" w:rsidR="00000000" w:rsidRPr="00000000">
        <w:rPr>
          <w:sz w:val="24"/>
          <w:szCs w:val="24"/>
          <w:rtl w:val="0"/>
        </w:rPr>
        <w:t xml:space="preserve">Summer, L. (2015, February 7). Retrieved from </w:t>
      </w:r>
      <w:hyperlink r:id="rId13">
        <w:r w:rsidDel="00000000" w:rsidR="00000000" w:rsidRPr="00000000">
          <w:rPr>
            <w:color w:val="1155cc"/>
            <w:sz w:val="24"/>
            <w:szCs w:val="24"/>
            <w:u w:val="single"/>
            <w:rtl w:val="0"/>
          </w:rPr>
          <w:t xml:space="preserve">http://www.somersault1824.com/tips-for-designing-scientific-figures-for-color-blind-readers/</w:t>
        </w:r>
      </w:hyperlink>
      <w:r w:rsidDel="00000000" w:rsidR="00000000" w:rsidRPr="00000000">
        <w:rPr>
          <w:sz w:val="24"/>
          <w:szCs w:val="24"/>
          <w:rtl w:val="0"/>
        </w:rPr>
        <w:t xml:space="preserve">   </w:t>
      </w:r>
    </w:p>
    <w:p w:rsidR="00000000" w:rsidDel="00000000" w:rsidP="00000000" w:rsidRDefault="00000000" w:rsidRPr="00000000" w14:paraId="00000014">
      <w:pPr>
        <w:spacing w:after="220" w:line="360" w:lineRule="auto"/>
        <w:rPr>
          <w:sz w:val="26"/>
          <w:szCs w:val="26"/>
        </w:rPr>
      </w:pPr>
      <w:r w:rsidDel="00000000" w:rsidR="00000000" w:rsidRPr="00000000">
        <w:rPr>
          <w:sz w:val="26"/>
          <w:szCs w:val="26"/>
          <w:rtl w:val="0"/>
        </w:rPr>
        <w:t xml:space="preserve">Accessible Technology. (2017, May 26). Retrieved from </w:t>
      </w:r>
      <w:hyperlink r:id="rId14">
        <w:r w:rsidDel="00000000" w:rsidR="00000000" w:rsidRPr="00000000">
          <w:rPr>
            <w:color w:val="1155cc"/>
            <w:sz w:val="26"/>
            <w:szCs w:val="26"/>
            <w:u w:val="single"/>
            <w:rtl w:val="0"/>
          </w:rPr>
          <w:t xml:space="preserve">http://www.washington.edu/accessibility/videos/</w:t>
        </w:r>
      </w:hyperlink>
      <w:r w:rsidDel="00000000" w:rsidR="00000000" w:rsidRPr="00000000">
        <w:rPr>
          <w:sz w:val="26"/>
          <w:szCs w:val="26"/>
          <w:rtl w:val="0"/>
        </w:rPr>
        <w:t xml:space="preserve"> </w:t>
      </w:r>
    </w:p>
    <w:p w:rsidR="00000000" w:rsidDel="00000000" w:rsidP="00000000" w:rsidRDefault="00000000" w:rsidRPr="00000000" w14:paraId="00000015">
      <w:pPr>
        <w:spacing w:after="220" w:line="360" w:lineRule="auto"/>
        <w:rPr>
          <w:sz w:val="26"/>
          <w:szCs w:val="26"/>
        </w:rPr>
      </w:pPr>
      <w:r w:rsidDel="00000000" w:rsidR="00000000" w:rsidRPr="00000000">
        <w:rPr>
          <w:sz w:val="26"/>
          <w:szCs w:val="26"/>
          <w:rtl w:val="0"/>
        </w:rPr>
        <w:t xml:space="preserve">Villacorta, D. (2016, November 21). A Complete Calendar of Hashtag Holidays. Retrieved from </w:t>
      </w:r>
      <w:hyperlink r:id="rId15">
        <w:r w:rsidDel="00000000" w:rsidR="00000000" w:rsidRPr="00000000">
          <w:rPr>
            <w:color w:val="1155cc"/>
            <w:sz w:val="26"/>
            <w:szCs w:val="26"/>
            <w:u w:val="single"/>
            <w:rtl w:val="0"/>
          </w:rPr>
          <w:t xml:space="preserve">https://sproutsocial.com/insights/national-days/</w:t>
        </w:r>
      </w:hyperlink>
      <w:r w:rsidDel="00000000" w:rsidR="00000000" w:rsidRPr="00000000">
        <w:rPr>
          <w:sz w:val="26"/>
          <w:szCs w:val="26"/>
          <w:rtl w:val="0"/>
        </w:rPr>
        <w:t xml:space="preserve"> </w:t>
      </w:r>
    </w:p>
    <w:p w:rsidR="00000000" w:rsidDel="00000000" w:rsidP="00000000" w:rsidRDefault="00000000" w:rsidRPr="00000000" w14:paraId="00000016">
      <w:pPr>
        <w:spacing w:line="360" w:lineRule="auto"/>
        <w:rPr/>
      </w:pPr>
      <w:r w:rsidDel="00000000" w:rsidR="00000000" w:rsidRPr="00000000">
        <w:rPr>
          <w:rtl w:val="0"/>
        </w:rPr>
      </w:r>
    </w:p>
    <w:p w:rsidR="00000000" w:rsidDel="00000000" w:rsidP="00000000" w:rsidRDefault="00000000" w:rsidRPr="00000000" w14:paraId="00000017">
      <w:pPr>
        <w:pStyle w:val="Heading1"/>
        <w:rPr/>
      </w:pPr>
      <w:bookmarkStart w:colFirst="0" w:colLast="0" w:name="_p1hubh8hl6zf" w:id="3"/>
      <w:bookmarkEnd w:id="3"/>
      <w:r w:rsidDel="00000000" w:rsidR="00000000" w:rsidRPr="00000000">
        <w:rPr>
          <w:rtl w:val="0"/>
        </w:rPr>
        <w:t xml:space="preserve">Specific Tools</w:t>
      </w:r>
    </w:p>
    <w:p w:rsidR="00000000" w:rsidDel="00000000" w:rsidP="00000000" w:rsidRDefault="00000000" w:rsidRPr="00000000" w14:paraId="00000018">
      <w:pPr>
        <w:numPr>
          <w:ilvl w:val="0"/>
          <w:numId w:val="1"/>
        </w:numPr>
        <w:ind w:left="720" w:hanging="360"/>
        <w:rPr>
          <w:u w:val="none"/>
        </w:rPr>
      </w:pPr>
      <w:r w:rsidDel="00000000" w:rsidR="00000000" w:rsidRPr="00000000">
        <w:rPr>
          <w:rtl w:val="0"/>
        </w:rPr>
        <w:t xml:space="preserve">Contrast Checker:  </w:t>
      </w:r>
      <w:hyperlink r:id="rId16">
        <w:r w:rsidDel="00000000" w:rsidR="00000000" w:rsidRPr="00000000">
          <w:rPr>
            <w:color w:val="1155cc"/>
            <w:u w:val="single"/>
            <w:rtl w:val="0"/>
          </w:rPr>
          <w:t xml:space="preserve">www.contrastchecker.com</w:t>
        </w:r>
      </w:hyperlink>
      <w:r w:rsidDel="00000000" w:rsidR="00000000" w:rsidRPr="00000000">
        <w:rPr>
          <w:rtl w:val="0"/>
        </w:rPr>
        <w:t xml:space="preserve"> </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Color Contrast Pal: </w:t>
      </w:r>
      <w:hyperlink r:id="rId17">
        <w:r w:rsidDel="00000000" w:rsidR="00000000" w:rsidRPr="00000000">
          <w:rPr>
            <w:color w:val="1155cc"/>
            <w:sz w:val="24"/>
            <w:szCs w:val="24"/>
            <w:u w:val="single"/>
            <w:rtl w:val="0"/>
          </w:rPr>
          <w:t xml:space="preserve">https://toolness.github.io/color-contrast-pal/</w:t>
        </w:r>
      </w:hyperlink>
      <w:r w:rsidDel="00000000" w:rsidR="00000000" w:rsidRPr="00000000">
        <w:rPr>
          <w:rtl w:val="0"/>
        </w:rPr>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Color Oracle: </w:t>
      </w:r>
      <w:hyperlink r:id="rId18">
        <w:r w:rsidDel="00000000" w:rsidR="00000000" w:rsidRPr="00000000">
          <w:rPr>
            <w:color w:val="1155cc"/>
            <w:u w:val="single"/>
            <w:rtl w:val="0"/>
          </w:rPr>
          <w:t xml:space="preserve">www.colororacle.org</w:t>
        </w:r>
      </w:hyperlink>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VisCheck: </w:t>
      </w:r>
      <w:hyperlink r:id="rId19">
        <w:r w:rsidDel="00000000" w:rsidR="00000000" w:rsidRPr="00000000">
          <w:rPr>
            <w:color w:val="1155cc"/>
            <w:u w:val="single"/>
            <w:rtl w:val="0"/>
          </w:rPr>
          <w:t xml:space="preserve">www.vischeck.com</w:t>
        </w:r>
      </w:hyperlink>
      <w:r w:rsidDel="00000000" w:rsidR="00000000" w:rsidRPr="00000000">
        <w:rPr>
          <w:rtl w:val="0"/>
        </w:rPr>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Coblis Simulator: </w:t>
      </w:r>
      <w:hyperlink r:id="rId20">
        <w:r w:rsidDel="00000000" w:rsidR="00000000" w:rsidRPr="00000000">
          <w:rPr>
            <w:color w:val="1155cc"/>
            <w:sz w:val="24"/>
            <w:szCs w:val="24"/>
            <w:u w:val="single"/>
            <w:rtl w:val="0"/>
          </w:rPr>
          <w:t xml:space="preserve">http://www.color-blindness.com/coblis-color-blindness-simulator/</w:t>
        </w:r>
      </w:hyperlink>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Daltonize:  </w:t>
      </w:r>
      <w:hyperlink r:id="rId21">
        <w:r w:rsidDel="00000000" w:rsidR="00000000" w:rsidRPr="00000000">
          <w:rPr>
            <w:color w:val="1155cc"/>
            <w:u w:val="single"/>
            <w:rtl w:val="0"/>
          </w:rPr>
          <w:t xml:space="preserve">www.vischeck.com/daltonize</w:t>
        </w:r>
      </w:hyperlink>
      <w:r w:rsidDel="00000000" w:rsidR="00000000" w:rsidRPr="00000000">
        <w:rPr>
          <w:rtl w:val="0"/>
        </w:rPr>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Snappa:</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Piktochart:</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Canva:</w:t>
      </w:r>
    </w:p>
    <w:p w:rsidR="00000000" w:rsidDel="00000000" w:rsidP="00000000" w:rsidRDefault="00000000" w:rsidRPr="00000000" w14:paraId="00000021">
      <w:pPr>
        <w:numPr>
          <w:ilvl w:val="0"/>
          <w:numId w:val="1"/>
        </w:numPr>
        <w:ind w:left="720" w:hanging="360"/>
        <w:rPr>
          <w:u w:val="none"/>
        </w:rPr>
      </w:pPr>
      <w:r w:rsidDel="00000000" w:rsidR="00000000" w:rsidRPr="00000000">
        <w:rPr>
          <w:rtl w:val="0"/>
        </w:rPr>
        <w:t xml:space="preserve">Adobe Spark:  </w:t>
      </w:r>
      <w:hyperlink r:id="rId22">
        <w:r w:rsidDel="00000000" w:rsidR="00000000" w:rsidRPr="00000000">
          <w:rPr>
            <w:color w:val="1155cc"/>
            <w:u w:val="single"/>
            <w:rtl w:val="0"/>
          </w:rPr>
          <w:t xml:space="preserve">https://spark.adobe.com</w:t>
        </w:r>
      </w:hyperlink>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color-blindness.com/coblis-color-blindness-simulator/" TargetMode="External"/><Relationship Id="rId11" Type="http://schemas.openxmlformats.org/officeDocument/2006/relationships/hyperlink" Target="https://www.youtube.com/watch?v=-O4YcVQt5NM" TargetMode="External"/><Relationship Id="rId22" Type="http://schemas.openxmlformats.org/officeDocument/2006/relationships/hyperlink" Target="https://spark.adobe.com" TargetMode="External"/><Relationship Id="rId10" Type="http://schemas.openxmlformats.org/officeDocument/2006/relationships/hyperlink" Target="http://mkweb.bcgsc.ca/colorblind/" TargetMode="External"/><Relationship Id="rId21" Type="http://schemas.openxmlformats.org/officeDocument/2006/relationships/hyperlink" Target="http://www.vischeck.com/daltonize" TargetMode="External"/><Relationship Id="rId13" Type="http://schemas.openxmlformats.org/officeDocument/2006/relationships/hyperlink" Target="http://www.somersault1824.com/tips-for-designing-scientific-figures-for-color-blind-readers/" TargetMode="External"/><Relationship Id="rId12" Type="http://schemas.openxmlformats.org/officeDocument/2006/relationships/hyperlink" Target="https://www.youtube.com/watch?v=IvWAj2jzQH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ccessiq.org/create/content/how-to-create-an-accessible-infographic" TargetMode="External"/><Relationship Id="rId15" Type="http://schemas.openxmlformats.org/officeDocument/2006/relationships/hyperlink" Target="https://sproutsocial.com/insights/national-days/" TargetMode="External"/><Relationship Id="rId14" Type="http://schemas.openxmlformats.org/officeDocument/2006/relationships/hyperlink" Target="http://www.washington.edu/accessibility/videos/" TargetMode="External"/><Relationship Id="rId17" Type="http://schemas.openxmlformats.org/officeDocument/2006/relationships/hyperlink" Target="https://toolness.github.io/color-contrast-pal/" TargetMode="External"/><Relationship Id="rId16" Type="http://schemas.openxmlformats.org/officeDocument/2006/relationships/hyperlink" Target="http://www.contrastchecker.com" TargetMode="External"/><Relationship Id="rId5" Type="http://schemas.openxmlformats.org/officeDocument/2006/relationships/styles" Target="styles.xml"/><Relationship Id="rId19" Type="http://schemas.openxmlformats.org/officeDocument/2006/relationships/hyperlink" Target="http://www.vischeck.com" TargetMode="External"/><Relationship Id="rId6" Type="http://schemas.openxmlformats.org/officeDocument/2006/relationships/hyperlink" Target="mailto:Samra.ward@gmail.com" TargetMode="External"/><Relationship Id="rId18" Type="http://schemas.openxmlformats.org/officeDocument/2006/relationships/hyperlink" Target="http://www.colororacle.org" TargetMode="External"/><Relationship Id="rId7" Type="http://schemas.openxmlformats.org/officeDocument/2006/relationships/hyperlink" Target="https://www.youtube.com/watch?v=R9LwO1mF5vc" TargetMode="External"/><Relationship Id="rId8" Type="http://schemas.openxmlformats.org/officeDocument/2006/relationships/hyperlink" Target="https://www.youtube.com/playlist?list=PLzbLZiJEtlO4n-UYLJBnUX_zeZ6xsCxx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